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20 222 vom 24. April 2023</w:t>
      </w:r>
    </w:p>
    <w:p>
      <w:r>
        <w:t>VS Kantonsgericht, 2023-04-24, FR</w:t>
      </w:r>
    </w:p>
    <w:p>
      <w:r>
        <w:rPr>
          <w:b/>
        </w:rPr>
        <w:t xml:space="preserve">Quelle: </w:t>
      </w:r>
      <w:r>
        <w:t>https://mcp.opencaselaw.ch/entscheid/vs_gerichte_C1 20 222</w:t>
      </w:r>
    </w:p>
    <w:p>
      <w:r>
        <w:t>FR: VS_GERICHTE C1 20 222 du 24 avril 2023</w:t>
      </w:r>
    </w:p>
    <w:p>
      <w:r>
        <w:t>IT: VS_GERICHTE C1 20 222 del 24 aprile 2023</w:t>
      </w:r>
    </w:p>
    <w:p>
      <w:pPr>
        <w:pStyle w:val="Heading2"/>
      </w:pPr>
      <w:r>
        <w:t>Regeste</w:t>
      </w:r>
    </w:p>
    <w:p>
      <w:r>
        <w:t>C1 20 222 JUGEMENT DU 24 AVRIL 2023 Tribunal cantonal du Valais Cour civile I Composition : Jérôme Emonet, président; Dr. Lionel Seeberger et Camille Rey-Mermet, juges; Laura Jost, greffière; en la cause X _________, et Y _________, appelants, représentés par Maître Michel De Palma, avocat à Sion, contre Z _________ SA, appelée, représentée par Maître Guillaume Grand, avocat à Sion. (maxime des débats; faits notoires judiciaires; dommage) appel contre la décision rendue le 7 juillet 2020 par le juge III des districts d’Hérens et Conthey (HCO C1 15 15) Procédure</w:t>
      </w:r>
    </w:p>
    <w:p>
      <w:pPr>
        <w:pStyle w:val="Heading2"/>
      </w:pPr>
      <w:r>
        <w:t>Erwägungen</w:t>
      </w:r>
    </w:p>
    <w:p>
      <w:r>
        <w:rPr>
          <w:b/>
        </w:rPr>
        <w:t>E. 3</w:t>
      </w:r>
    </w:p>
    <w:p>
      <w:r>
        <w:t>Le premier juge a considéré que les parties avaient conclu un contrat de prêt de consommation au sens de l’art. 312 CO en vertu duquel la A _________ avait mis à la disposition de X _________ une somme de 800'000 fr. octroyée à titre onéreux pour une durée de 35 ans (consid. 9 du jugement querellé). S’agissant de l’exigibilité, il a relevé qu’une résiliation pouvait intervenir en tout temps, moyennant un préavis écrit de 180 jours et que la banque était légitimée à dénoncer le contrat et à exiger le remboursement moyennant un préavis de 90 jours en cas de défaut de l’emprunteur. Le jugement énonce à cet égard au consid. 10c : « …alors que le contrat prévoyait, à titre de garantie du prêt octroyé, l’obligation pour l’emprunteur de remettre en nantissement auprès de la banque donneuse de crédit un portefeuille titre d’une valeur minimale de 400'000 fr. (cf. ch. 3 dudit contrat), cette condition, remplie dans un premier temps, n’a toutefois plus été satisfaite par X _________ dès le mois de juin 2007. Le 29 juin 2007, ce dernier a en effet ordonné le prélèvement en sa faveur, sur le compte-dépôt remis en nantissement auprès de la A _________, de la somme de 200'000 euros, correspondant à 330'935 fr. 38, réduisant d’autant le solde dudit compte qui devait pourtant être exclusivement affecté à la garantie de son crédit. Dès cette dernière date et jusqu’à la résiliation du prêt le 4 février 2013, X _________ n’a jamais reconstitué la garantie contractuelle de 400'000 fr. malgré plusieurs mises en demeure de la A _________, puis de Z _________ SA à sa suite, en violation manifeste du point 3 de l’accord conclu. Dès lors, conformément à la clause de résiliation prévue par le contrat de prêt du 21 février 2006 s’appliquant en cas de défaut de l’emprunteur, Z _________ SA était en droit de résilier le crédit litigieux moyennant un préavis de 90 jours. À cet égard, dans la mesure où dite résiliation est intervenue en date du 4 février 2013 pour le 31 mai 2013, le délai de trois mois ainsi fixé est indéniablement respecté. Il en va par ailleurs de même des dénonciations au 30 septembre 2013 des deux cédules hypothécaires au porteur de 780'000 fr. et de 200'000 fr. servant de garantie au prêt accordé à X _________, celles-ci ayant été adressées tant à X _________ le 4 février 2013, qu’à Y _________ le 22 février 2013, pour ce dernier uniquement en sa qualité de tiers propriétaire de la parcelle n° xxx1 grevée de la</w:t>
      </w:r>
    </w:p>
    <w:p>
      <w:r>
        <w:t>- 8 - cédule hypothécaire au porteur de 200'000 fr. précitée. Valablement dénoncé, le remboursement du prêt liant les parties était ainsi exigible dès le 1er juin 2013, respectivement dès le 1er octobre 2013, s’agissant des créances abstraites incorporées dans les gages, ce qui commande de faire droit à la prétention en remboursement formulée par Z _________ SA à l’encontre de X _________ ».</w:t>
      </w:r>
    </w:p>
    <w:p>
      <w:r>
        <w:rPr>
          <w:b/>
        </w:rPr>
        <w:t>E. 4</w:t>
      </w:r>
    </w:p>
    <w:p>
      <w:r>
        <w:t>Dans un premier grief, les appelants se plaignent d’une violation de la maxime des débats, reprochant au premier juge d’avoir pris en considération des faits qui n’avaient pas été allégués. Le jugement querellé aurait été construit sur des pièces versées en cause, indépendamment du fait que leur contenu ait été allégué ou non, en particulier s’agissant des clauses du contrat de prêt et des échanges d’emails. Le grief doit être rejeté pour les motifs qui suivent :</w:t>
      </w:r>
    </w:p>
    <w:p>
      <w:r>
        <w:rPr>
          <w:b/>
        </w:rPr>
        <w:t>E. 4.1.1</w:t>
      </w:r>
    </w:p>
    <w:p>
      <w:r>
        <w:t>Conformément à la maxime des débats (art. 55 al. 1 CPC), il incombe aux parties, et non au juge, de rassembler les faits du procès, c'est-à-dire d'alléguer les faits pertinents (fardeau de l'allégation subjectif) et d'offrir les moyens de preuve propres à établir ceux-ci (fardeau de l'administration de la preuve). En vertu des art. 221 al. 1 let. d et 222 al. 2 CPC, les faits pertinents doivent être allégués en principe dans la demande, respectivement dans la réponse, et ils doivent être suffisamment motivés (charge de la motivation) pour que la partie adverse puisse se déterminer sur eux et que le juge puisse savoir quels sont les faits admis, respectivement les faits contestés sur lesquels des moyens de preuve devront être administrés (art. 150 al. 1 CPC). Selon les art. 221 al. 1 let. e et 222 al. 2 CPC, les moyens de preuve propres à établir les faits pertinents doivent également y être indiqués. Au regard de la maxime des débats, la personne de l'alléguant importe peu : il suffit que les faits fassent partie du cadre du procès pour que le juge puisse en tenir compte. Il n'en demeure pas moins que celui qui supporte le fardeau de la preuve (art. 8 CC) et donc, en principe, le fardeau de l'allégation objectif, a toujours intérêt à alléguer lui-même les faits pertinents, ainsi qu'à indiquer au juge ses moyens de preuve, pour qu'ils fassent ainsi partie du cadre du procès (arrêt 4D_47/2022 du 17 novembre 2022 consid. 4.1). Les exigences quant au contenu des allégués et à leur précision dépendent, d'une part, du droit matériel, soit des faits constitutifs de la norme invoquée et, d'autre part, de la façon dont la partie adverse s'est déterminée en procédure : dans un premier temps, le demandeur doit énoncer les faits concrets justifiant sa prétention de manière suffisamment précise pour que la partie adverse puisse indiquer lesquels elle conteste, voire présenter déjà ses contre-preuves; dans un second temps, si la partie adverse a</w:t>
      </w:r>
    </w:p>
    <w:p>
      <w:r>
        <w:t>- 9 - contesté des faits, le demandeur est contraint d'exposer de manière plus détaillée le contenu de l'allégation de chacun des faits contestés, de façon à permettre au juge d'administrer les preuves nécessaires pour les élucider et appliquer la règle de droit matériel au cas particulier (arrêt 4A_194/2020 du 29 juillet 2020 consid. 5.3.1). En d’autres termes, les parties doivent alléguer les faits sur lesquels leurs prétentions reposent, ainsi qu’offrir les moyens de preuve y afférents. Elles doivent alléguer tous les éléments factuels constitutifs des normes de droit matériel qui fondent leurs conclusions. Il suffit que les faits soient allégués dans leurs traits ou contours essentiels d’après l’expérience de la vie. Les allégués sont suffisants, lorsque, s’ils sont démontrés, ils délivrent un état de fait auquel le tribunal peut rattacher les dispositions légales correspondantes et, sur leur base, octroyer les prétentions litigieuses. En d’autres termes, il faut que l’état de fait allégué permette d’aboutir aux conséquences juridiques requises. Lorsque la partie adverse conteste les allégués, ces derniers ne sont alors plus à exposer seulement dans leurs contours, mais doivent être décomposés en faits distincts de manière suffisamment claire et complète pour que la preuve ou la contre- preuve puisse être apportée (fardeau de la motivation; arrêt 4A_595/2021 du 5 mai 2022 consid. 7.3.1).</w:t>
      </w:r>
    </w:p>
    <w:p>
      <w:r>
        <w:rPr>
          <w:b/>
        </w:rPr>
        <w:t>E. 4.1.2</w:t>
      </w:r>
    </w:p>
    <w:p>
      <w:r>
        <w:t>Une distinction doit être faite entre le fardeau de l’allégation et l’appréciation des preuves. Un moyen de preuve n’est régulièrement offert que lorsque l’offre de preuve peut être associée sans équivoque à l’allégation de fait à prouver (arrêt 4A_195/2014 du 27 novembre 2014 consid. 7.3.3 non publ. aux ATF 140 III 602; HEINZMANN, Petit Commentaire – CPC, 2021, n. 23 ad art. 221 et les réf.). Il doit ressortir clairement du contexte dans quelle mesure les moyens de preuve offerts doivent apporter la preuve souhaitée : il ne suffit pas de déposer ses allégués et de renvoyer de manière globale aux pièces. En revanche, le tribunal établit sa conviction par une libre appréciation des preuves administrées (art. 157 CPC). Il n'est pas exigé des parties qu'elles affirment individuellement tous les aspects et particularités d'un moyen de preuve qui seront appréciés lors de la décision sur sa force probante. Par exemple, si le défendeur allègue qu’une opération n’a pas requis un investissement important de la part du demandeur et renvoie à 22 courriels, le tribunal peut le retenir en constatant qu’il s’agit uniquement de courts courriels d’une à deux phrases chacun. Il ne s’agit pas de la prise en compte de faits non allégués, mais de la libre appréciation de l’offre de preuve (arrêt 4A_195/2014 du 27 novembre 2014 consid. 7.3.3 non publ. aux ATF 140 III 602). Pour motiver un grief de violation de la maxime des débats, il ne suffit donc en tout cas pas de démontrer qu’un certain fait, pris en considération par le tribunal dans le cadre</w:t>
      </w:r>
    </w:p>
    <w:p>
      <w:r>
        <w:t>- 10 - de l’appréciation des preuves, n’a pas été explicitement allégué. La question de savoir si le tribunal peut prendre en considération des faits résultant du dossier, bien qu’ils n’aient pas été allégués ou qu’ils n’aient pas été inclus dans les moyens de preuve désignés à leur sujet, ne se poserait que si le défendeur n’avait pas allégué les faits pertinents pour la subsomption – que le tribunal a néanmoins considéré comme établis par les preuves administrées – dans leur traits ou contours essentiels, d’une manière correspondant aux usages de la vie, ni ne les avait motivés dans la mesure où ils étaient contestés, ou si pour ces faits, les parties ne s’étaient pas référées de manière juridiquement suffisante aux moyens de preuve administrés (arrêts 4A_567/2019 du 10 février 2020 consid. 4.4.2 et 4A_195/2014 du 27 novembre 2014 consid. 7.3.4 non publ. aux ATF 140 III 602).</w:t>
      </w:r>
    </w:p>
    <w:p>
      <w:r>
        <w:rPr>
          <w:b/>
        </w:rPr>
        <w:t>E. 4.2</w:t>
      </w:r>
    </w:p>
    <w:p>
      <w:r>
        <w:t>Dans le cas d’espèce, l’appelée avait, en première instance, énoncé les allégués suivants : 95. Le 19 juin 2007, nonobstant ses engagements contractuels – soit le fait de toujours avoir des actifs déposés auprès de la banque créancière d’une valeur minimum de CHF 400'000.-- X _________ a demandé à son conseiller clientèle, C _________, de transférer [EURO] 200'000.- sur son compte auprès de la banque B _________ au Pays-Bas. (preuves : interrogatoire des parties, pièces 2, 16, 42, 53 à 55, audition de C _________) 96. Cette somme devait être prélevée sur les fonds qui étaient constitués en garantie du prêt. (preuves : interrogatoire des parties, pièces 2, 16, 35, 50 et 52 à 55, absence de preuve contraire, audition de C _________) 101. Ainsi, dès le 29 juin 2007, les conditions contractuelles du prêt n’étai[en]t plus respectées puisque la garantie d’avoir un compte bancaire créditeur de CHF 400'000.- n’était plus donnée. (preuves : interrogatoire des parties, pièces 2, 16, 35, 50, 52, 53, 54, 56 à 59, absence de preuve contraire, audition de C _________) 102. Le 4 juin 2008, A _________ SA a d’ailleurs mis X _________ en demeure de reconstituer les CHF 400'000.- du compte de garantie (preuves : interrogatoire des parties, pièce 53) 107. Après la fusion, Z _________ SA a repris les démarches auprès de X _________ en vue de faire respecter les termes du contrat de prêt du 21 février 2006. (preuves : interrogatoire des parties, pièces 54 à 60) 108. Le 7 juin 2012, une lettre de relance est adressée à X _________, lui demandant ces propositions en vue de reconstituer le montant de CHF 400'000.- de garantie, lui demandant au surplus, de régulariser ses intérêts impayés. (preuves : interrogatoire des parties, pièces 2 et 54, 56 et 57) 109. Le 3 juillet suivant, une partie des intérêts ayant été payés par X _________, la banque adresse une relance pour la restitution du collatéral de CHF 400’0000.-, en précisant qu’elle était disposée à accorder un délai pour la reconstitution de ce dépôt, sous réserve d’un premier paiement de</w:t>
      </w:r>
    </w:p>
    <w:p>
      <w:r>
        <w:t>- 11 - CHF 100'000.-, ce dernier devant être acquitté avant le 28 septembre 2012. (preuves : interrogatoire des parties, pièces 58 et 59) 110. La banque a indiqué que à défaut de paiement de la somme de CHF 100'000.- susmentionnée, elle devrait dénoncer le prêt puisque les conditions contractuelles n’étaient plus respectées. (preuves : interrogatoire des parties, pièces 58 et 59) 111. Le 26 novembre 2012, soit plus de 4 mois après le dernier courrier, Z _________ SA, bien que n’ayant pas obtenu le paiement des CHF 100'000.- susmentionnés, a octroyé un nouveau délai à X _________ afin qu’il régularise sa situation au 31 décembre 2012, faute de quoi le prêt serait dénoncé. (preuves : interrogatoire des parties, pièce 61) 112. Le 4 février 2013, X _________ n’ayant pas régularisé sa situation, la banque a dénoncé le prêt et les cédules pour le 31 mai 2013 (prêt) et 30 septembre 2013 (cédules). (preuves : interrogatoire des parties, pièces 2, 26 et 60). 113. Partant, dès le 30 septembre 2013, le prêt et les cédules sont exigibles. (preuves : interrogatoire des parties, pièces 2, 26 et 60, déduction logique). L’on doit ainsi constater que l’appelée a allégué (cf. notamment all. 112) qu’elle avait « dénoncé le prêt et les cédules » vu que la situation n’avait pas été régularisée, soit que les 400'000 fr. n’avaient pas été versés sur un compte bancaire en violation des conditions contractuelles (cf. all. 101). Ce faisant, elle invoquait notamment comme moyen de preuve la pièce 2, soit le contrat en question (p. 24 ss), et la pièce 60, soit la lettre du 4 février 2013 (p. 514 ss), qui faisait expressément référence aux art. 11 et 12 dudit contrat. L’appelée, si elle n’a pas formellement allégué l’art. 12 du contrat, a ainsi néanmoins indiqué qu’elle avait dénoncé le prêt en se fondant sur le contrat. L’appréciation des preuves par le juge intimé lui permettait d’examiner les moyens de preuves offerts à cet égard, soit le contrat et la lettre qui se référait à son art. 12, et il pouvait ainsi se fonder sur dit article pour examiner si l’appelée avait bien prouvé avoir « dénoncé le prêt et les cédules ». Par ailleurs, il n’est pas contesté que l’appelée a valablement allégué que X _________ n’avait pas maintenu 400'000 fr. sur ses comptes bancaires, ce qu’exigeait pourtant le contrat. Elle l’a ensuite invité à réitérées reprises à se conformer à ses obligations, soit notamment les 30 avril 2012, 3 mai 2012 (all. 107, pce 54), 7 juin 2012 (all. 108, pce 56), 3 juillet 2012 (all. 109, pce 58), 26 novembre 2012 (all. 111, pce 61).</w:t>
      </w:r>
    </w:p>
    <w:p>
      <w:r>
        <w:rPr>
          <w:b/>
        </w:rPr>
        <w:t>E. 4.3</w:t>
      </w:r>
    </w:p>
    <w:p>
      <w:r>
        <w:t>Il convient encore d’examiner l’éventuel défaut d’allégation quant à la dénonciation du prêt et de la cédule envers Y _________.</w:t>
      </w:r>
    </w:p>
    <w:p>
      <w:r>
        <w:t>- 12 -</w:t>
      </w:r>
    </w:p>
    <w:p>
      <w:r>
        <w:rPr>
          <w:b/>
        </w:rPr>
        <w:t>E. 4.3.1</w:t>
      </w:r>
    </w:p>
    <w:p>
      <w:r>
        <w:t>Selon l’art. 151 CPC, les faits notoires ou notoirement connus du tribunal et les règles d’expérience généralement reconnues ne doivent pas être prouvés. Les faits notoires n’ont pas non plus à être allégués (arrêt 5A_1048/2019 du 30 juin 2021 consid. 3.5.2 et les réf.). Sont des faits notoirement connus du tribunal ceux connus du tribunal de par son activité officielle (SUTTER-SOMM/SEILER, Handkommentar – ZPO, 2021, n. 7 ad art. 151; CHABLOZ/COPT, Petit Commentaire – CPC, 2021, n. 8 ad art. 151), soit notamment les faits qui ressortent d’une autre procédure entre les mêmes parties. Ils peuvent ainsi être pris en considération même en l’absence d’allégation ou d’offre de preuve correspondante (arrêts 5A_252/2021 du 8 novembre 2021 consid. 2.3; 5A_610/2016 du 3 mai 2017 consid. 3.1; CHABLOZ/COPT, Petit Commentaire – CPC, 2021, n. 8 ad art. 151). Il faut néanmoins que ce soit le même tribunal et la même Cour qui traite des procédures en questions (arrêts 5A_640/2020 du 25 mars 2021 consid. 2.3; 5D_37/2018 du 8 juin 2018 consid. 5; SUTTER-SOMM/SEILER, Handkommentar – ZPO, 2021, n. 7 ad art. 151; CHABLOZ/COPT, Petit Commentaire – CPC, 2021, n. 8 ad art. 151), dès lors qu’il ne peut être attendu d’autorités traitant des causes bien distinctes et dont les magistrats y siégeant ne sont pas forcément les mêmes qu’elles tiennent compte d’office de faits résultant d’une autre procédure (arrêt 5D_37/2018 du 8 juin 2018 consid. 5). En revanche, il suffit qu’un seul membre, et non une majorité du tribunal siégeant, ait connaissance du fait en question (SUTTER-SOMM/SEILER, Handkommentar – ZPO, 2021, n. 11 ad art. 151; BAUMGARTNER, Kurzkommentar – ZPO, 3e éd. 2021, n. 6 ad art. 151). Le secret de fonction et le droit d’être entendu des parties doivent être néanmoins respectés (CHABLOZ/COPT, Petit Commentaire – CPC, 2021, n. 8 ad art. 151). Avant d’utiliser un fait notoire, le tribunal doit ainsi permettre aux parties de se prononcer sur le caractère notoire du fait et la fiabilité de sa source (BAUMGARTNER, Kurzkommentar – ZPO, 3e éd. 2021, n. 5 et 10 ad art. 151), du moins lorsqu’il n’est pas manifestement connu des parties (GUYAN, Basler Kommentar – ZPO, 3e éd. 2017, n. 3 ad art. 151). Peuvent notamment être des faits notoires judiciaires l’existence d’un testament, une reconnaissance de paternité (BAUMGARTNER, Kurzkommentar – ZPO, 3e éd. 2021, n. 6 ad art. 151), l’existence d’un exécuteur testamentaire (LEU, Dike Kommentar – ZPO I, 2e éd. 2016, n. 11 ad art. 151).</w:t>
      </w:r>
    </w:p>
    <w:p>
      <w:r>
        <w:rPr>
          <w:b/>
        </w:rPr>
        <w:t>E. 4.3.2</w:t>
      </w:r>
    </w:p>
    <w:p>
      <w:r>
        <w:t>Dans le cas d’espèce, la dénonciation du 22 février 2013 de la cédule auprès de Y _________ ressortait clairement de la décision de mainlevée HCO LP 14 904 (p. 65 ss) à sa p. 3, rédigée par la greffière qui a œuvré dans le jugement querellé, intervenant alors en tant que juge suppléante. Le juge intimé pouvait dès lors la prendre en compte</w:t>
      </w:r>
    </w:p>
    <w:p>
      <w:r>
        <w:t>- 13 - à titre de fait notoire judiciaire. Cet élément étant manifestement connu des parties, il n’avait pas à les en informer. En sus, la notification du commandement de payer à Y _________ valait résiliation suffisante de la cédule. Les appelants ont en outre allégué qu’ont été levées tant l’opposition de X _________ que celle de Y _________, renvoyant à ce sujet aux commandements de payer et à la décision de mainlevée, documents versés en cause (all. 56 sv.).</w:t>
      </w:r>
    </w:p>
    <w:p>
      <w:r>
        <w:rPr>
          <w:b/>
        </w:rPr>
        <w:t>E. 4.4</w:t>
      </w:r>
    </w:p>
    <w:p>
      <w:r>
        <w:t>Les griefs quant à la validité de la dénonciation du prêt se recoupant avec celui de la violation de la maxime des débats, il faut en conclure que le contrat a été valablement dénoncé et que le remboursement était exigible dès le 1er juin 2013. Le premier juge a par ailleurs arrêté le solde du crédit au 30 septembre 2013 à 804'234 fr. 82 (consid. 10 e), montant qui n’a pas été remis en cause.</w:t>
      </w:r>
    </w:p>
    <w:p>
      <w:r>
        <w:rPr>
          <w:b/>
        </w:rPr>
        <w:t>E. 5</w:t>
      </w:r>
    </w:p>
    <w:p>
      <w:r>
        <w:t>Les appelants invoquent en compensation le dommage que la banque leur aurait occasionné en manquant à son devoir d’information et de conseil.</w:t>
      </w:r>
    </w:p>
    <w:p>
      <w:r>
        <w:rPr>
          <w:b/>
        </w:rPr>
        <w:t>E. 5.1</w:t>
      </w:r>
    </w:p>
    <w:p>
      <w:r>
        <w:t>Le premier juge a nié l’existence d’une faute pour les motifs développés au consid. 11 d du jugement querellé auxquels la cour se rallie.</w:t>
      </w:r>
    </w:p>
    <w:p>
      <w:r>
        <w:rPr>
          <w:b/>
        </w:rPr>
        <w:t>E. 5.2</w:t>
      </w:r>
    </w:p>
    <w:p>
      <w:r>
        <w:t>A supposer une faute établie, il appartenait aux appelants de démontrer leur dommage.</w:t>
      </w:r>
    </w:p>
    <w:p>
      <w:r>
        <w:rPr>
          <w:b/>
        </w:rPr>
        <w:t>E. 5.2.1</w:t>
      </w:r>
    </w:p>
    <w:p>
      <w:r>
        <w:t>Le dommage se définit comme la diminution involontaire de la fortune nette; il correspond à la différence entre le montant actuel du patrimoine du lésé et le montant que ce même patrimoine aurait eu si l'événement dommageable ne s'était pas produit. Il peut se présenter sous la forme d'une diminution de l'actif, d'une augmentation du passif, d'une non-augmentation de l'actif ou d'une non-diminution du passif. Lorsque le dommage consiste dans la perte d'un gain futur, on parle de gain manqué (« lucrum cessans »; « entgangener Gewinn »); il peut provenir soit de la non-augmentation d'un poste de l'actif, soit de la non-diminution d'un poste du passif. En pratique, au lieu de déterminer la différence sur le patrimoine total (théorie de la différence), il est admis que le juge puisse, dans certains cas, se borner à déterminer l'actif qui a diminué ou le passif qui a augmenté.</w:t>
      </w:r>
    </w:p>
    <w:p>
      <w:r>
        <w:rPr>
          <w:b/>
        </w:rPr>
        <w:t>E. 5.2.2</w:t>
      </w:r>
    </w:p>
    <w:p>
      <w:r>
        <w:t>En l’espèce, les appelants écrivent dans leur déclaration d’appel que « le dommage de X _________ n’est pas négligeable puisque c’est du fait de la banque qu’il s’est retrouvé dans cette situation, à savoir que ses obligations contractuelles n’étaient pas remplies et que le contrat a été dénoncé, bien qu’il eût toujours payé les intérêts</w:t>
      </w:r>
    </w:p>
    <w:p>
      <w:r>
        <w:t>- 14 - hypothécaires ». Ils n’ont cependant ni allégué ni démontré, comme ils en avaient la charge (art. 8 CC) que la dénonciation du prêt, par ailleurs conforme au contrat, leur causait un dommage et si oui de quelle ampleur, dommage qui aurait pu résulter par exemple de l’impossibilité de rembourser avec le risque de réalisation des biens hypothéqués dans des conditions défavorables, ou de l’impossibilité d’obtenir un prêt similaire d’un autre établissement, ou encore de l’impossibilité d’obtenir un prêt à des conditions au moins aussi favorables que celles du contrat dénoncé. Il ressort au contraire du dossier que le 28 février 2012 l’appelée avait signalé à X _________ que deux établissements bancaires étaient susceptibles de reprendre le crédit à des conditions identiques (cf. consid. 2.6. supra).</w:t>
      </w:r>
    </w:p>
    <w:p>
      <w:r>
        <w:rPr>
          <w:b/>
        </w:rPr>
        <w:t>E. 5.3</w:t>
      </w:r>
    </w:p>
    <w:p>
      <w:r>
        <w:t>S’agissant de l’ordre de paiement du montant de 200'000 euros, force est de constater que X _________ en est lui-même l’auteur alors qu’il ne pouvait ignorer que cet ordre violait le contrat qu’il avait personnellement signé peu de temps auparavant. Il ne peut ainsi se dédouaner de son choix en rejetant la faute sur la banque. Il a ensuite reçu l’extrait de compte du 30 juin 2007, l’informant que les 200'000 euros avaient été transférés et que son compte bancaire en euros était ainsi en déficit de 137'609 euros 38 (all. 205-209 et pce 52 au dos., p. 457), mais est resté passif. De surcroît, il est resté tout autant passif le 4 juin 2008 alors que la violation du contrat qu’il avait commise lui avait été clairement rappelée (all. 102 et pce. 53 au dos., p. 505). Le transfert du montant, à sa demande, sur l’un de ses comptes, ne lui a en outre causé aucun dommage. Il n’a en effet ni allégué ni démontré qu’à la suite de ce transfert, il n’était plus en mesure de reconstituer la garantie comme l’exigeait la banque ou que son patrimoine s’en trouvait diminué d’une manière ou d’une autre. En toutes hypothèses, une telle impossibilité n’aurait pu qu’entraîner, en application du contrat, la dénonciation du prêt, dont, on l’a vu (cf. consid. 5.2 supra), il n’a été ni allégué, ni démontré qu’elle aurait entraîné un dommage, et, le cas échéant de quelle ampleur.</w:t>
      </w:r>
    </w:p>
    <w:p>
      <w:r>
        <w:rPr>
          <w:b/>
        </w:rPr>
        <w:t>E. 5.4</w:t>
      </w:r>
    </w:p>
    <w:p>
      <w:r>
        <w:t>Dans sa détermination du 24 novembre 2020, les appelants soutiennent encore que le dommage consiste aussi dans « les surplus d’intérêts payés par X _________ ». Sur ce point, ils avaient prétendu dans le mémoire-conclusions déposé devant le premier juge qu’ils n’avaient pas été informés de la non-exécution de l’amortissement de 100'000 fr., qu’ils avaient cru que la dette avait été réduite à 700'000 fr. et que, si une telle réduction avait été opérée, ils auraient pu faire une économie d’intérêts de l’ordre de 20'000 francs. Or précisément, la réduction n’a pas été opérée, non par la faute de la banque, mais par manque de disponible sur le compte qui devait être débité. Les appelants n’ont ni allégué</w:t>
      </w:r>
    </w:p>
    <w:p>
      <w:r>
        <w:t>- 15 - ni démontré qu’ils auraient procédé à l’amortissement d’une autre manière, s’ils avaient été informés de la non-exécution de leur ordre, et qu’ils auraient pu le faire dans des conditions plus favorables que celles découlant du prêt litigieux. L’expert a calculé que si le compte avait été amorti de 100'000 fr. le 20 juin 2007, les intérêts auraient été réduits de 19'720 fr. 89. Il ajoute cependant que « ce calcul ne tient pas compte du rendement qu’a pu obtenir X _________ sur cette somme pendant ce laps de temps ou d’intérêts bancaires qui auraient dû être payés si ce versement avait engendré un découvert sur un autre compte ». L’éventuel dommage n’a dès lors pas été établi.</w:t>
      </w:r>
    </w:p>
    <w:p>
      <w:r>
        <w:rPr>
          <w:b/>
        </w:rPr>
        <w:t>E. 6</w:t>
      </w:r>
    </w:p>
    <w:p>
      <w:r>
        <w:t>Les griefs des appelants étant rejetés, le jugement querellé doit être confirmé.</w:t>
      </w:r>
    </w:p>
    <w:p>
      <w:r>
        <w:rPr>
          <w:b/>
        </w:rPr>
        <w:t>E. 7</w:t>
      </w:r>
    </w:p>
    <w:p>
      <w:r>
        <w:t>Les frais de la procédure de première instance, non contestés, doivent être confirmés. Ceux de la procédure d’appel sont mis à la charge des appelants qui succombent (art. 106 al. 1 CPC). Eu égard à la valeur litigieuse, à l’ampleur et à la difficulté de la cause, aux principes de la couverture des frais et de l'équivalence des prestations (art. 13 al. 1 et 2 LTar), l’émolument forfaitaire de décision d’appel (art. 95 al. 2 let. b CPC), qui peut osciller entre 18'000 fr. et 60'000 fr. et être réduit de 60%, est arrêté à 16'000 fr. et prélevé sur l’avance des appelants (art. 16 et 19 LTar). Concernant les dépens de l’appelée en seconde instance, le travail utilement fourni par son conseil a, pour l’essentiel, consisté en la prise de connaissance de l’appel et en la rédaction d’une réponse de dix-sept pages. Il est, au surplus, tenu compte de la valeur litigieuse, de l’ampleur et de la difficulté de la cause (art. 27 al. 1 et 2 LTar). Les dépens, qui peuvent osciller entre 31'100 fr. et 38'500 fr. et doivent être réduits de 60%, sont arrêtés, débours et TVA compris, à 12'500 fr. (art. 32 et 35 al. 1 let. a LTar). Les appelants supporteront leurs propres frais d’intervention en seconde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